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94" w:rsidRDefault="00606F80">
      <w:pPr>
        <w:snapToGrid w:val="0"/>
        <w:spacing w:line="56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</w:t>
      </w:r>
    </w:p>
    <w:p w:rsidR="00AD0194" w:rsidRDefault="00606F80">
      <w:pPr>
        <w:snapToGrid w:val="0"/>
        <w:spacing w:line="560" w:lineRule="exact"/>
        <w:ind w:firstLineChars="845" w:firstLine="3054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靖宇县人民法院</w:t>
      </w:r>
    </w:p>
    <w:p w:rsidR="00AD0194" w:rsidRDefault="00606F80">
      <w:pPr>
        <w:snapToGrid w:val="0"/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2019年审判运行态势分析报告</w:t>
      </w:r>
    </w:p>
    <w:p w:rsidR="00AD0194" w:rsidRDefault="00AD0194">
      <w:pPr>
        <w:pStyle w:val="a6"/>
        <w:spacing w:line="360" w:lineRule="auto"/>
        <w:ind w:firstLineChars="200" w:firstLine="723"/>
        <w:rPr>
          <w:rFonts w:ascii="仿宋" w:eastAsia="仿宋" w:hAnsi="仿宋" w:cs="Times New Roman"/>
          <w:b/>
          <w:sz w:val="36"/>
          <w:szCs w:val="36"/>
        </w:rPr>
      </w:pPr>
    </w:p>
    <w:p w:rsidR="00AD0194" w:rsidRDefault="00606F80" w:rsidP="00E12442">
      <w:pPr>
        <w:pStyle w:val="a6"/>
        <w:spacing w:beforeLines="50" w:before="156" w:beforeAutospacing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2019年1－12月份，靖宇县人民法院认真履行各项审判职能，努力实现判案不出错，审案</w:t>
      </w:r>
      <w:proofErr w:type="gramStart"/>
      <w:r>
        <w:rPr>
          <w:rFonts w:ascii="仿宋" w:eastAsia="仿宋" w:hAnsi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sz w:val="32"/>
          <w:szCs w:val="32"/>
        </w:rPr>
        <w:t>超时，认真贯彻落实各项规章制度，审判质量、效率整体较好，工作整体呈良性运行态势。</w:t>
      </w:r>
    </w:p>
    <w:p w:rsidR="00AD0194" w:rsidRDefault="00606F80" w:rsidP="00E12442">
      <w:pPr>
        <w:snapToGrid w:val="0"/>
        <w:spacing w:beforeLines="50" w:before="156" w:line="360" w:lineRule="auto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一、审判质效情况</w:t>
      </w:r>
    </w:p>
    <w:p w:rsidR="00AD0194" w:rsidRDefault="00606F80" w:rsidP="00E12442">
      <w:pPr>
        <w:snapToGrid w:val="0"/>
        <w:spacing w:beforeLines="50" w:before="156" w:line="360" w:lineRule="auto"/>
        <w:rPr>
          <w:rFonts w:ascii="仿宋" w:eastAsia="仿宋" w:hAnsi="仿宋" w:cs="宋体"/>
        </w:rPr>
      </w:pPr>
      <w:r>
        <w:rPr>
          <w:rFonts w:ascii="仿宋" w:eastAsia="仿宋" w:hAnsi="仿宋" w:hint="eastAsia"/>
        </w:rPr>
        <w:t>（一）</w:t>
      </w:r>
      <w:r>
        <w:rPr>
          <w:rFonts w:ascii="仿宋" w:eastAsia="仿宋" w:hAnsi="仿宋" w:cs="宋体" w:hint="eastAsia"/>
        </w:rPr>
        <w:t>收结案情况</w:t>
      </w:r>
    </w:p>
    <w:p w:rsidR="00AD0194" w:rsidRDefault="00606F80" w:rsidP="00E12442">
      <w:pPr>
        <w:snapToGrid w:val="0"/>
        <w:spacing w:beforeLines="50" w:before="156" w:line="360" w:lineRule="auto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2019年1月1日至12月31日，全院共受理各类案件2895，其中旧存255件，新收2640件，新收同比增加0.19%，审执结2808件，同比增加8.33%，未结87件，同比下降66.28%，结案率为96.99%,同比上升6.01个百分点。诉讼案件受理1799件，其中旧存76件，新收1723件，新收同比增加14.79%，审结1763件，同比增加20.67%，结案率为98%,同比上升3.13个百分点。执行案件受理1096件，其中旧存179件，新收917件，新收同比下降19.14%，执结1045件，同比下降7.6%，执结率为95.35%，同比上升9.01个百分点。</w:t>
      </w:r>
    </w:p>
    <w:p w:rsidR="00AD0194" w:rsidRDefault="00606F80">
      <w:pPr>
        <w:snapToGrid w:val="0"/>
        <w:spacing w:line="360" w:lineRule="auto"/>
        <w:rPr>
          <w:rFonts w:ascii="仿宋" w:eastAsia="仿宋" w:hAnsi="仿宋"/>
        </w:rPr>
      </w:pPr>
      <w:r>
        <w:rPr>
          <w:rFonts w:ascii="仿宋" w:eastAsia="仿宋" w:hAnsi="仿宋" w:hint="eastAsia"/>
        </w:rPr>
        <w:object w:dxaOrig="6623" w:dyaOrig="3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45pt;height:186.8pt" o:ole="">
            <v:imagedata r:id="rId9" o:title=""/>
          </v:shape>
          <o:OLEObject Type="Embed" ProgID="MSGraph.Chart.8" ShapeID="_x0000_i1025" DrawAspect="Content" ObjectID="_1640499997" r:id="rId10"/>
        </w:object>
      </w:r>
      <w:r>
        <w:rPr>
          <w:rFonts w:ascii="仿宋" w:eastAsia="仿宋" w:hAnsi="仿宋" w:hint="eastAsia"/>
        </w:rPr>
        <w:t xml:space="preserve">    </w:t>
      </w:r>
    </w:p>
    <w:p w:rsidR="00AD0194" w:rsidRDefault="00606F80" w:rsidP="00E12442">
      <w:pPr>
        <w:pStyle w:val="a6"/>
        <w:spacing w:beforeLines="50" w:before="156" w:beforeAutospacing="0"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刑事案件受案为157件。其中，旧存16件，新收141件, 新收同比上升4.44%；结案148件，同比上升16.54个百分点；结案率为94.27%，同比上升6.68个百分点。</w:t>
      </w:r>
    </w:p>
    <w:p w:rsidR="00AD0194" w:rsidRDefault="00606F80" w:rsidP="00E12442">
      <w:pPr>
        <w:snapToGrid w:val="0"/>
        <w:spacing w:beforeLines="50" w:before="156" w:line="360" w:lineRule="auto"/>
        <w:ind w:firstLineChars="200" w:firstLine="640"/>
        <w:rPr>
          <w:rFonts w:cs="Tahoma"/>
          <w:bCs/>
        </w:rPr>
      </w:pPr>
      <w:r>
        <w:rPr>
          <w:rFonts w:ascii="仿宋" w:eastAsia="仿宋" w:hAnsi="仿宋" w:hint="eastAsia"/>
        </w:rPr>
        <w:t>民事一审、再审案件受案为1503件。其中，旧存56件，新收1447件,新收同比增加16.13%；结案1478件，同比增加21.55%；结案率为98.34%，同比上升2.82个百分点。</w:t>
      </w:r>
      <w:r>
        <w:rPr>
          <w:rFonts w:cs="Tahoma" w:hint="eastAsia"/>
          <w:bCs/>
        </w:rPr>
        <w:t>强制清算与破产类案件受理2件，已结0件。</w:t>
      </w:r>
    </w:p>
    <w:p w:rsidR="00AD0194" w:rsidRDefault="00606F80" w:rsidP="00E12442">
      <w:pPr>
        <w:snapToGrid w:val="0"/>
        <w:spacing w:beforeLines="50" w:before="156" w:line="360" w:lineRule="auto"/>
        <w:ind w:firstLineChars="250" w:firstLine="80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行政一审案件受案为33件。其中，旧存2件，新收31件, 新收同比增加14.81%；结案33件，同比增加22.22%；结案率为100%，同比上升6.9个百分点。</w:t>
      </w:r>
    </w:p>
    <w:p w:rsidR="00AD0194" w:rsidRDefault="00606F80" w:rsidP="00E12442">
      <w:pPr>
        <w:snapToGrid w:val="0"/>
        <w:spacing w:before="50" w:line="360" w:lineRule="auto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执行案件受理1096件，其中旧存179件，新收917件，新收同比下降19.14%，执结1045件，同比下降7.6%，执结率为95.35%，同比上升9.01个百分点。</w:t>
      </w:r>
    </w:p>
    <w:p w:rsidR="00AD0194" w:rsidRDefault="00AD0194" w:rsidP="00E12442">
      <w:pPr>
        <w:snapToGrid w:val="0"/>
        <w:spacing w:beforeLines="50" w:before="156" w:line="360" w:lineRule="auto"/>
        <w:ind w:firstLineChars="200" w:firstLine="640"/>
        <w:rPr>
          <w:rFonts w:ascii="仿宋" w:eastAsia="仿宋" w:hAnsi="仿宋"/>
        </w:rPr>
      </w:pPr>
    </w:p>
    <w:p w:rsidR="00AD0194" w:rsidRDefault="00606F80" w:rsidP="00E12442">
      <w:pPr>
        <w:pStyle w:val="a6"/>
        <w:spacing w:beforeLines="50" w:before="156" w:beforeAutospacing="0" w:line="360" w:lineRule="auto"/>
        <w:ind w:firstLine="57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非诉保全审查受案为104件。其中新收104件，结案104件。</w:t>
      </w:r>
    </w:p>
    <w:p w:rsidR="00AD0194" w:rsidRDefault="00606F80" w:rsidP="00606F80">
      <w:pPr>
        <w:snapToGrid w:val="0"/>
        <w:spacing w:line="360" w:lineRule="auto"/>
        <w:ind w:leftChars="100" w:left="320" w:firstLineChars="83" w:firstLine="266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object w:dxaOrig="8160" w:dyaOrig="5520">
          <v:shape id="_x0000_i1026" type="#_x0000_t75" style="width:408.25pt;height:275.75pt" o:ole="">
            <v:imagedata r:id="rId11" o:title=""/>
          </v:shape>
          <o:OLEObject Type="Embed" ProgID="MSGraph.Chart.8" ShapeID="_x0000_i1026" DrawAspect="Content" ObjectID="_1640499998" r:id="rId12"/>
        </w:object>
      </w:r>
      <w:r>
        <w:rPr>
          <w:rFonts w:ascii="仿宋" w:eastAsia="仿宋" w:hAnsi="仿宋" w:hint="eastAsia"/>
        </w:rPr>
        <w:t xml:space="preserve">   </w:t>
      </w:r>
    </w:p>
    <w:p w:rsidR="00AD0194" w:rsidRDefault="00606F80">
      <w:pPr>
        <w:snapToGrid w:val="0"/>
        <w:spacing w:line="360" w:lineRule="auto"/>
        <w:ind w:firstLine="588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object w:dxaOrig="8177" w:dyaOrig="4547">
          <v:shape id="_x0000_i1027" type="#_x0000_t75" style="width:408.9pt;height:227.55pt" o:ole="">
            <v:imagedata r:id="rId13" o:title=""/>
          </v:shape>
          <o:OLEObject Type="Embed" ProgID="MSGraph.Chart.8" ShapeID="_x0000_i1027" DrawAspect="Content" ObjectID="_1640499999" r:id="rId14"/>
        </w:object>
      </w:r>
      <w:r>
        <w:rPr>
          <w:rFonts w:ascii="仿宋" w:eastAsia="仿宋" w:hAnsi="仿宋" w:hint="eastAsia"/>
        </w:rPr>
        <w:t>（二）案件质量效果情况</w:t>
      </w:r>
    </w:p>
    <w:p w:rsidR="00AD0194" w:rsidRDefault="00606F80" w:rsidP="00E12442">
      <w:pPr>
        <w:pStyle w:val="a6"/>
        <w:spacing w:beforeLines="50" w:before="156" w:beforeAutospacing="0" w:line="360" w:lineRule="auto"/>
        <w:ind w:firstLine="57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lastRenderedPageBreak/>
        <w:t>1.发回重审、改判案件有所增加。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2019年１－12月我院共收到被白山中院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发改案件</w:t>
      </w:r>
      <w:proofErr w:type="gramEnd"/>
      <w:r w:rsidR="004A0A5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2件，同比增加5件，增幅为</w:t>
      </w:r>
      <w:r w:rsidR="004E797C">
        <w:rPr>
          <w:rFonts w:ascii="仿宋" w:eastAsia="仿宋" w:hAnsi="仿宋" w:hint="eastAsia"/>
          <w:color w:val="000000" w:themeColor="text1"/>
          <w:sz w:val="32"/>
          <w:szCs w:val="32"/>
        </w:rPr>
        <w:t>29.41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%。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发改率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为</w:t>
      </w:r>
      <w:r w:rsidR="004E797C">
        <w:rPr>
          <w:rFonts w:ascii="仿宋" w:eastAsia="仿宋" w:hAnsi="仿宋" w:hint="eastAsia"/>
          <w:color w:val="000000" w:themeColor="text1"/>
          <w:sz w:val="32"/>
          <w:szCs w:val="32"/>
        </w:rPr>
        <w:t>0.78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%。</w:t>
      </w:r>
    </w:p>
    <w:p w:rsidR="00AD0194" w:rsidRDefault="00606F80" w:rsidP="00E12442">
      <w:pPr>
        <w:pStyle w:val="a6"/>
        <w:spacing w:beforeLines="50" w:before="156" w:beforeAutospacing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2.案件</w:t>
      </w:r>
      <w:proofErr w:type="gramStart"/>
      <w:r>
        <w:rPr>
          <w:rFonts w:ascii="仿宋" w:eastAsia="仿宋" w:hAnsi="仿宋" w:hint="eastAsia"/>
          <w:sz w:val="32"/>
          <w:szCs w:val="32"/>
        </w:rPr>
        <w:t>调撤率</w:t>
      </w:r>
      <w:proofErr w:type="gramEnd"/>
      <w:r>
        <w:rPr>
          <w:rFonts w:ascii="仿宋" w:eastAsia="仿宋" w:hAnsi="仿宋" w:hint="eastAsia"/>
          <w:sz w:val="32"/>
          <w:szCs w:val="32"/>
        </w:rPr>
        <w:t>有所下降。2019年１－12月我院共调解结案323件，撤诉案件425件。民事案件调解率为21.93%，同比去年下降9.79个百分点；民事案件撤诉率为28.83%，同比去年上升7.37个百分点；</w:t>
      </w:r>
      <w:proofErr w:type="gramStart"/>
      <w:r>
        <w:rPr>
          <w:rFonts w:ascii="仿宋" w:eastAsia="仿宋" w:hAnsi="仿宋" w:hint="eastAsia"/>
          <w:sz w:val="32"/>
          <w:szCs w:val="32"/>
        </w:rPr>
        <w:t>调撤率</w:t>
      </w:r>
      <w:proofErr w:type="gramEnd"/>
      <w:r>
        <w:rPr>
          <w:rFonts w:ascii="仿宋" w:eastAsia="仿宋" w:hAnsi="仿宋" w:hint="eastAsia"/>
          <w:sz w:val="32"/>
          <w:szCs w:val="32"/>
        </w:rPr>
        <w:t>为50.74%，同比去年下降1.89个百分点。</w:t>
      </w:r>
    </w:p>
    <w:p w:rsidR="00AD0194" w:rsidRDefault="00606F80" w:rsidP="00E12442">
      <w:pPr>
        <w:spacing w:beforeLines="50" w:before="156" w:afterLines="100" w:after="312" w:line="360" w:lineRule="auto"/>
        <w:ind w:firstLineChars="200" w:firstLine="640"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  <w:kern w:val="0"/>
        </w:rPr>
        <w:t>3、上诉案件数量和上诉率均有所上升。2019年１－12月我院</w:t>
      </w:r>
      <w:r>
        <w:rPr>
          <w:rFonts w:ascii="仿宋" w:eastAsia="仿宋" w:hAnsi="仿宋" w:hint="eastAsia"/>
          <w:color w:val="000000" w:themeColor="text1"/>
        </w:rPr>
        <w:t>共上诉案件9</w:t>
      </w:r>
      <w:r w:rsidR="004E797C">
        <w:rPr>
          <w:rFonts w:ascii="仿宋" w:eastAsia="仿宋" w:hAnsi="仿宋" w:hint="eastAsia"/>
          <w:color w:val="000000" w:themeColor="text1"/>
        </w:rPr>
        <w:t>2</w:t>
      </w:r>
      <w:r>
        <w:rPr>
          <w:rFonts w:ascii="仿宋" w:eastAsia="仿宋" w:hAnsi="仿宋" w:hint="eastAsia"/>
          <w:color w:val="000000" w:themeColor="text1"/>
        </w:rPr>
        <w:t>件，上诉案件与去年同比增加</w:t>
      </w:r>
      <w:r w:rsidR="004E797C">
        <w:rPr>
          <w:rFonts w:ascii="仿宋" w:eastAsia="仿宋" w:hAnsi="仿宋" w:hint="eastAsia"/>
          <w:color w:val="000000" w:themeColor="text1"/>
        </w:rPr>
        <w:t>8</w:t>
      </w:r>
      <w:r>
        <w:rPr>
          <w:rFonts w:ascii="仿宋" w:eastAsia="仿宋" w:hAnsi="仿宋" w:hint="eastAsia"/>
          <w:color w:val="000000" w:themeColor="text1"/>
        </w:rPr>
        <w:t>件，增幅为</w:t>
      </w:r>
      <w:r w:rsidR="004E797C">
        <w:rPr>
          <w:rFonts w:ascii="仿宋" w:eastAsia="仿宋" w:hAnsi="仿宋" w:hint="eastAsia"/>
          <w:color w:val="000000" w:themeColor="text1"/>
        </w:rPr>
        <w:t>9.52</w:t>
      </w:r>
      <w:r>
        <w:rPr>
          <w:rFonts w:ascii="仿宋" w:eastAsia="仿宋" w:hAnsi="仿宋" w:hint="eastAsia"/>
          <w:color w:val="000000" w:themeColor="text1"/>
        </w:rPr>
        <w:t>%；上诉率为</w:t>
      </w:r>
      <w:r w:rsidR="004E797C">
        <w:rPr>
          <w:rFonts w:ascii="仿宋" w:eastAsia="仿宋" w:hAnsi="仿宋" w:hint="eastAsia"/>
          <w:color w:val="000000" w:themeColor="text1"/>
        </w:rPr>
        <w:t>3.27</w:t>
      </w:r>
      <w:r>
        <w:rPr>
          <w:rFonts w:ascii="仿宋" w:eastAsia="仿宋" w:hAnsi="仿宋" w:hint="eastAsia"/>
          <w:color w:val="000000" w:themeColor="text1"/>
        </w:rPr>
        <w:t>%。</w:t>
      </w:r>
      <w:r>
        <w:rPr>
          <w:rFonts w:ascii="仿宋" w:eastAsia="仿宋" w:hAnsi="仿宋"/>
          <w:color w:val="000000" w:themeColor="text1"/>
        </w:rPr>
        <w:t xml:space="preserve"> </w:t>
      </w:r>
    </w:p>
    <w:p w:rsidR="00AD0194" w:rsidRDefault="00606F80" w:rsidP="00E12442">
      <w:pPr>
        <w:snapToGrid w:val="0"/>
        <w:spacing w:beforeLines="50" w:before="156" w:afterLines="100" w:after="312" w:line="360" w:lineRule="auto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  <w:kern w:val="0"/>
        </w:rPr>
        <w:t>4、</w:t>
      </w:r>
      <w:r>
        <w:rPr>
          <w:rFonts w:ascii="仿宋" w:eastAsia="仿宋" w:hAnsi="仿宋" w:hint="eastAsia"/>
        </w:rPr>
        <w:t>庭审直播情况</w:t>
      </w:r>
      <w:r>
        <w:rPr>
          <w:rFonts w:ascii="仿宋" w:eastAsia="仿宋" w:hAnsi="仿宋" w:hint="eastAsia"/>
          <w:kern w:val="0"/>
        </w:rPr>
        <w:t>。</w:t>
      </w:r>
      <w:r>
        <w:rPr>
          <w:rFonts w:ascii="仿宋" w:eastAsia="仿宋" w:hAnsi="仿宋" w:hint="eastAsia"/>
        </w:rPr>
        <w:t>2019年１－12月全院共在“中国庭审公开网”上直播案件423件,直播率为23.99%。</w:t>
      </w:r>
    </w:p>
    <w:p w:rsidR="00AD0194" w:rsidRPr="009F392F" w:rsidRDefault="00606F80" w:rsidP="00E12442">
      <w:pPr>
        <w:shd w:val="clear" w:color="auto" w:fill="FFFFFF"/>
        <w:spacing w:beforeLines="50" w:before="156" w:line="360" w:lineRule="auto"/>
        <w:ind w:firstLineChars="150" w:firstLine="480"/>
        <w:textAlignment w:val="top"/>
        <w:rPr>
          <w:rFonts w:ascii="仿宋" w:eastAsia="仿宋" w:hAnsi="仿宋" w:cs="宋体"/>
          <w:color w:val="000000" w:themeColor="text1"/>
          <w:kern w:val="0"/>
        </w:rPr>
      </w:pPr>
      <w:r>
        <w:rPr>
          <w:rFonts w:ascii="仿宋" w:eastAsia="仿宋" w:hAnsi="仿宋" w:hint="eastAsia"/>
          <w:kern w:val="0"/>
        </w:rPr>
        <w:t>5、</w:t>
      </w:r>
      <w:r>
        <w:rPr>
          <w:rFonts w:ascii="仿宋" w:eastAsia="仿宋" w:hAnsi="仿宋" w:cs="宋体" w:hint="eastAsia"/>
          <w:kern w:val="0"/>
        </w:rPr>
        <w:t>2019年1月1日至2019年12月31日,靖宇县人民法院共审结民事一审案件1478件，其中适用简易程序审理的</w:t>
      </w:r>
      <w:r w:rsidRPr="009F392F">
        <w:rPr>
          <w:rFonts w:ascii="仿宋" w:eastAsia="仿宋" w:hAnsi="仿宋" w:cs="宋体" w:hint="eastAsia"/>
          <w:color w:val="000000" w:themeColor="text1"/>
          <w:kern w:val="0"/>
        </w:rPr>
        <w:t>案件1377件，占93.17%。</w:t>
      </w:r>
    </w:p>
    <w:p w:rsidR="00AD0194" w:rsidRPr="009F392F" w:rsidRDefault="00606F80" w:rsidP="00E12442">
      <w:pPr>
        <w:snapToGrid w:val="0"/>
        <w:spacing w:beforeLines="50" w:before="156" w:afterLines="100" w:after="312" w:line="360" w:lineRule="auto"/>
        <w:ind w:firstLineChars="196" w:firstLine="627"/>
        <w:rPr>
          <w:rFonts w:ascii="仿宋" w:eastAsia="仿宋" w:hAnsi="仿宋"/>
          <w:color w:val="000000" w:themeColor="text1"/>
        </w:rPr>
      </w:pPr>
      <w:r w:rsidRPr="009F392F">
        <w:rPr>
          <w:rFonts w:ascii="仿宋" w:eastAsia="仿宋" w:hAnsi="仿宋" w:hint="eastAsia"/>
          <w:color w:val="000000" w:themeColor="text1"/>
          <w:kern w:val="0"/>
        </w:rPr>
        <w:t>6、</w:t>
      </w:r>
      <w:r w:rsidRPr="009F392F">
        <w:rPr>
          <w:rFonts w:ascii="仿宋" w:eastAsia="仿宋" w:hAnsi="仿宋" w:hint="eastAsia"/>
          <w:color w:val="000000" w:themeColor="text1"/>
        </w:rPr>
        <w:t>裁判文书上网情况：2019年１－12月全院共上网公</w:t>
      </w:r>
      <w:bookmarkStart w:id="0" w:name="_GoBack"/>
      <w:bookmarkEnd w:id="0"/>
      <w:r w:rsidRPr="009F392F">
        <w:rPr>
          <w:rFonts w:ascii="仿宋" w:eastAsia="仿宋" w:hAnsi="仿宋" w:hint="eastAsia"/>
          <w:color w:val="000000" w:themeColor="text1"/>
        </w:rPr>
        <w:t>开裁判文书2</w:t>
      </w:r>
      <w:r w:rsidR="009F392F" w:rsidRPr="009F392F">
        <w:rPr>
          <w:rFonts w:ascii="仿宋" w:eastAsia="仿宋" w:hAnsi="仿宋" w:hint="eastAsia"/>
          <w:color w:val="000000" w:themeColor="text1"/>
        </w:rPr>
        <w:t>534</w:t>
      </w:r>
      <w:r w:rsidRPr="009F392F">
        <w:rPr>
          <w:rFonts w:ascii="仿宋" w:eastAsia="仿宋" w:hAnsi="仿宋" w:hint="eastAsia"/>
          <w:color w:val="000000" w:themeColor="text1"/>
        </w:rPr>
        <w:t>件，上网率为</w:t>
      </w:r>
      <w:r w:rsidR="009F392F" w:rsidRPr="009F392F">
        <w:rPr>
          <w:rFonts w:ascii="仿宋" w:eastAsia="仿宋" w:hAnsi="仿宋" w:hint="eastAsia"/>
          <w:color w:val="000000" w:themeColor="text1"/>
        </w:rPr>
        <w:t>90.24</w:t>
      </w:r>
      <w:r w:rsidRPr="009F392F">
        <w:rPr>
          <w:rFonts w:ascii="仿宋" w:eastAsia="仿宋" w:hAnsi="仿宋" w:hint="eastAsia"/>
          <w:color w:val="000000" w:themeColor="text1"/>
        </w:rPr>
        <w:t>%。</w:t>
      </w:r>
    </w:p>
    <w:p w:rsidR="00AD0194" w:rsidRDefault="00606F80" w:rsidP="00E12442">
      <w:pPr>
        <w:spacing w:beforeLines="50" w:before="156" w:afterLines="100" w:after="312" w:line="360" w:lineRule="auto"/>
        <w:ind w:firstLineChars="196" w:firstLine="627"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</w:rPr>
        <w:t>7、“电子法院”应用情况：2019年１－12月全院共网</w:t>
      </w:r>
      <w:r>
        <w:rPr>
          <w:rFonts w:ascii="仿宋" w:eastAsia="仿宋" w:hAnsi="仿宋" w:hint="eastAsia"/>
        </w:rPr>
        <w:lastRenderedPageBreak/>
        <w:t>上立案632件（无执行新系统），</w:t>
      </w:r>
      <w:r>
        <w:rPr>
          <w:rFonts w:ascii="仿宋" w:eastAsia="仿宋" w:hAnsi="仿宋" w:hint="eastAsia"/>
          <w:color w:val="000000" w:themeColor="text1"/>
        </w:rPr>
        <w:t>全院共完成网上交费438件，电子送达692件，</w:t>
      </w:r>
      <w:proofErr w:type="gramStart"/>
      <w:r>
        <w:rPr>
          <w:rFonts w:ascii="仿宋" w:eastAsia="仿宋" w:hAnsi="仿宋" w:hint="eastAsia"/>
          <w:color w:val="000000" w:themeColor="text1"/>
        </w:rPr>
        <w:t>云会议</w:t>
      </w:r>
      <w:proofErr w:type="gramEnd"/>
      <w:r>
        <w:rPr>
          <w:rFonts w:ascii="仿宋" w:eastAsia="仿宋" w:hAnsi="仿宋" w:hint="eastAsia"/>
          <w:color w:val="000000" w:themeColor="text1"/>
        </w:rPr>
        <w:t>84件，证据交换110件。</w:t>
      </w:r>
    </w:p>
    <w:p w:rsidR="00AD0194" w:rsidRDefault="00606F80" w:rsidP="00E12442">
      <w:pPr>
        <w:spacing w:beforeLines="50" w:before="156" w:afterLines="100" w:after="312" w:line="360" w:lineRule="auto"/>
        <w:ind w:firstLineChars="147" w:firstLine="47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8、系统归档情况：2019年１－12月全院系统归档率为100%。</w:t>
      </w:r>
    </w:p>
    <w:p w:rsidR="00AD0194" w:rsidRDefault="00606F80" w:rsidP="00E12442">
      <w:pPr>
        <w:spacing w:beforeLines="50" w:before="156" w:afterLines="100" w:after="312" w:line="360" w:lineRule="auto"/>
        <w:ind w:firstLineChars="147" w:firstLine="470"/>
        <w:rPr>
          <w:rFonts w:ascii="仿宋" w:eastAsiaTheme="majorEastAsia" w:hAnsi="仿宋"/>
        </w:rPr>
      </w:pPr>
      <w:r>
        <w:rPr>
          <w:rFonts w:ascii="仿宋" w:eastAsia="仿宋" w:hAnsi="仿宋" w:hint="eastAsia"/>
        </w:rPr>
        <w:t>9、</w:t>
      </w:r>
      <w:r>
        <w:rPr>
          <w:rFonts w:ascii="仿宋" w:eastAsia="仿宋" w:hAnsi="仿宋"/>
        </w:rPr>
        <w:t>201</w:t>
      </w:r>
      <w:r>
        <w:rPr>
          <w:rFonts w:ascii="仿宋" w:eastAsia="仿宋" w:hAnsi="仿宋" w:hint="eastAsia"/>
        </w:rPr>
        <w:t>9年</w:t>
      </w:r>
      <w:r>
        <w:rPr>
          <w:rFonts w:ascii="仿宋" w:eastAsia="仿宋" w:hAnsi="仿宋"/>
        </w:rPr>
        <w:t>1</w:t>
      </w:r>
      <w:r>
        <w:rPr>
          <w:rFonts w:ascii="仿宋" w:eastAsia="仿宋" w:hAnsi="仿宋" w:hint="eastAsia"/>
        </w:rPr>
        <w:t>月</w:t>
      </w:r>
      <w:r>
        <w:rPr>
          <w:rFonts w:ascii="仿宋" w:eastAsia="仿宋" w:hAnsi="仿宋"/>
        </w:rPr>
        <w:t>1</w:t>
      </w:r>
      <w:r>
        <w:rPr>
          <w:rFonts w:ascii="仿宋" w:eastAsia="仿宋" w:hAnsi="仿宋" w:hint="eastAsia"/>
        </w:rPr>
        <w:t>日</w:t>
      </w:r>
      <w:r>
        <w:rPr>
          <w:rFonts w:ascii="仿宋" w:eastAsia="仿宋" w:hAnsi="仿宋"/>
        </w:rPr>
        <w:t>----201</w:t>
      </w:r>
      <w:r>
        <w:rPr>
          <w:rFonts w:ascii="仿宋" w:eastAsia="仿宋" w:hAnsi="仿宋" w:hint="eastAsia"/>
        </w:rPr>
        <w:t>9年</w:t>
      </w:r>
      <w:r>
        <w:rPr>
          <w:rFonts w:ascii="仿宋" w:eastAsia="仿宋" w:hAnsi="仿宋"/>
        </w:rPr>
        <w:t>12</w:t>
      </w:r>
      <w:r>
        <w:rPr>
          <w:rFonts w:ascii="仿宋" w:eastAsia="仿宋" w:hAnsi="仿宋" w:hint="eastAsia"/>
        </w:rPr>
        <w:t>月</w:t>
      </w:r>
      <w:r>
        <w:rPr>
          <w:rFonts w:ascii="仿宋" w:eastAsia="仿宋" w:hAnsi="仿宋"/>
        </w:rPr>
        <w:t>31</w:t>
      </w:r>
      <w:r>
        <w:rPr>
          <w:rFonts w:ascii="仿宋" w:eastAsia="仿宋" w:hAnsi="仿宋" w:hint="eastAsia"/>
        </w:rPr>
        <w:t>日立案至今仍未结诉讼案件情况：全院共有3件民事案件未结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(2018)吉0622民初884号 、(2018)吉0622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民破2号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、(2018)吉0622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民破1号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AD0194" w:rsidRDefault="00606F80" w:rsidP="00E12442">
      <w:pPr>
        <w:spacing w:beforeLines="50" w:before="156" w:line="360" w:lineRule="auto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（三）审判效率情况　</w:t>
      </w:r>
    </w:p>
    <w:p w:rsidR="00AD0194" w:rsidRDefault="00606F80" w:rsidP="00E12442">
      <w:pPr>
        <w:spacing w:beforeLines="50" w:before="156" w:line="360" w:lineRule="auto"/>
        <w:ind w:firstLineChars="200" w:firstLine="640"/>
        <w:rPr>
          <w:rFonts w:ascii="仿宋" w:eastAsia="仿宋" w:hAnsi="仿宋"/>
          <w:color w:val="FF0000"/>
        </w:rPr>
      </w:pPr>
      <w:r>
        <w:rPr>
          <w:rFonts w:ascii="仿宋" w:eastAsia="仿宋" w:hAnsi="仿宋" w:hint="eastAsia"/>
        </w:rPr>
        <w:t>1、2019年１－12月全院新收案件同比增加5件,增幅为0.19%；审执结2808件，同比增加8.33%；未结87件，同比下降66.28%，结案率为96.99%,同比上升6.01个百分点。全年在已结案件中无超审限结案。</w:t>
      </w:r>
    </w:p>
    <w:p w:rsidR="00AD0194" w:rsidRDefault="00606F80" w:rsidP="00E12442">
      <w:pPr>
        <w:pStyle w:val="a6"/>
        <w:spacing w:beforeLines="50" w:before="156" w:beforeAutospacing="0" w:line="360" w:lineRule="auto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2019年1－12月全院共审、执结案件2808件，平均审理天数为33.3天。其中审结刑事一审案件134件，平均审理天数为34.7天；审查刑罚变更案件7件，平均审查天数为32.3天；审结民事一审案件1459件，平均审理天数为33.1天；审结行政一审案件17件，平均审理天数为73.4天；审查审查监督案件7件，审查天数为17.6天。</w:t>
      </w:r>
    </w:p>
    <w:p w:rsidR="00AD0194" w:rsidRDefault="00606F80" w:rsidP="00E12442">
      <w:pPr>
        <w:snapToGrid w:val="0"/>
        <w:spacing w:beforeLines="50" w:before="156" w:line="360" w:lineRule="auto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二、审判工作呈现的突出特点及存在的问题</w:t>
      </w:r>
    </w:p>
    <w:p w:rsidR="00AD0194" w:rsidRDefault="00606F80" w:rsidP="00E12442">
      <w:pPr>
        <w:pStyle w:val="a6"/>
        <w:spacing w:beforeLines="50" w:before="156" w:beforeAutospacing="0" w:line="360" w:lineRule="auto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lastRenderedPageBreak/>
        <w:t>（一）201</w:t>
      </w:r>
      <w:r w:rsidR="00F520ED">
        <w:rPr>
          <w:rFonts w:ascii="仿宋" w:eastAsia="仿宋" w:hAnsi="仿宋" w:hint="eastAsia"/>
          <w:bCs/>
          <w:sz w:val="32"/>
          <w:szCs w:val="32"/>
        </w:rPr>
        <w:t>9</w:t>
      </w:r>
      <w:r>
        <w:rPr>
          <w:rFonts w:ascii="仿宋" w:eastAsia="仿宋" w:hAnsi="仿宋" w:hint="eastAsia"/>
          <w:bCs/>
          <w:sz w:val="32"/>
          <w:szCs w:val="32"/>
        </w:rPr>
        <w:t>年全院案审执结率同比有所</w:t>
      </w:r>
      <w:r w:rsidR="00F520ED">
        <w:rPr>
          <w:rFonts w:ascii="仿宋" w:eastAsia="仿宋" w:hAnsi="仿宋" w:hint="eastAsia"/>
          <w:bCs/>
          <w:sz w:val="32"/>
          <w:szCs w:val="32"/>
        </w:rPr>
        <w:t>上升</w:t>
      </w:r>
    </w:p>
    <w:p w:rsidR="00AD0194" w:rsidRPr="004E797C" w:rsidRDefault="00606F80" w:rsidP="004E797C">
      <w:pPr>
        <w:snapToGrid w:val="0"/>
        <w:spacing w:beforeLines="50" w:before="156" w:line="360" w:lineRule="auto"/>
        <w:ind w:firstLineChars="200" w:firstLine="640"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</w:rPr>
        <w:t>2018年1月1日至12月30日，全院共受理各类案件</w:t>
      </w:r>
      <w:r w:rsidR="00F520ED">
        <w:rPr>
          <w:rFonts w:ascii="仿宋" w:eastAsia="仿宋" w:hAnsi="仿宋" w:hint="eastAsia"/>
        </w:rPr>
        <w:t>2895</w:t>
      </w:r>
      <w:r>
        <w:rPr>
          <w:rFonts w:ascii="仿宋" w:eastAsia="仿宋" w:hAnsi="仿宋" w:hint="eastAsia"/>
        </w:rPr>
        <w:t>，审执结</w:t>
      </w:r>
      <w:r w:rsidR="00F520ED">
        <w:rPr>
          <w:rFonts w:ascii="仿宋" w:eastAsia="仿宋" w:hAnsi="仿宋" w:hint="eastAsia"/>
        </w:rPr>
        <w:t>2808</w:t>
      </w:r>
      <w:r>
        <w:rPr>
          <w:rFonts w:ascii="仿宋" w:eastAsia="仿宋" w:hAnsi="仿宋" w:hint="eastAsia"/>
        </w:rPr>
        <w:t>件，同比增加</w:t>
      </w:r>
      <w:r w:rsidR="00F520ED">
        <w:rPr>
          <w:rFonts w:ascii="仿宋" w:eastAsia="仿宋" w:hAnsi="仿宋" w:hint="eastAsia"/>
        </w:rPr>
        <w:t>8.33</w:t>
      </w:r>
      <w:r>
        <w:rPr>
          <w:rFonts w:ascii="仿宋" w:eastAsia="仿宋" w:hAnsi="仿宋" w:hint="eastAsia"/>
        </w:rPr>
        <w:t>%，未结</w:t>
      </w:r>
      <w:r w:rsidR="00F520ED">
        <w:rPr>
          <w:rFonts w:ascii="仿宋" w:eastAsia="仿宋" w:hAnsi="仿宋" w:hint="eastAsia"/>
        </w:rPr>
        <w:t>87</w:t>
      </w:r>
      <w:r>
        <w:rPr>
          <w:rFonts w:ascii="仿宋" w:eastAsia="仿宋" w:hAnsi="仿宋" w:hint="eastAsia"/>
        </w:rPr>
        <w:t>件，同比</w:t>
      </w:r>
      <w:r w:rsidR="00F520ED">
        <w:rPr>
          <w:rFonts w:ascii="仿宋" w:eastAsia="仿宋" w:hAnsi="仿宋" w:hint="eastAsia"/>
        </w:rPr>
        <w:t>下降66.28</w:t>
      </w:r>
      <w:r>
        <w:rPr>
          <w:rFonts w:ascii="仿宋" w:eastAsia="仿宋" w:hAnsi="仿宋" w:hint="eastAsia"/>
        </w:rPr>
        <w:t>%，结案率为</w:t>
      </w:r>
      <w:r w:rsidR="00F520ED">
        <w:rPr>
          <w:rFonts w:ascii="仿宋" w:eastAsia="仿宋" w:hAnsi="仿宋" w:hint="eastAsia"/>
        </w:rPr>
        <w:t>96.99</w:t>
      </w:r>
      <w:r>
        <w:rPr>
          <w:rFonts w:ascii="仿宋" w:eastAsia="仿宋" w:hAnsi="仿宋" w:hint="eastAsia"/>
        </w:rPr>
        <w:t>%,同比</w:t>
      </w:r>
      <w:r w:rsidR="00F520ED">
        <w:rPr>
          <w:rFonts w:ascii="仿宋" w:eastAsia="仿宋" w:hAnsi="仿宋" w:hint="eastAsia"/>
        </w:rPr>
        <w:t>上升6.01</w:t>
      </w:r>
      <w:r>
        <w:rPr>
          <w:rFonts w:ascii="仿宋" w:eastAsia="仿宋" w:hAnsi="仿宋" w:hint="eastAsia"/>
        </w:rPr>
        <w:t>个百分点。</w:t>
      </w:r>
      <w:r w:rsidR="004E797C">
        <w:rPr>
          <w:rFonts w:ascii="仿宋" w:eastAsia="仿宋" w:hAnsi="仿宋" w:hint="eastAsia"/>
          <w:color w:val="000000" w:themeColor="text1"/>
        </w:rPr>
        <w:t xml:space="preserve">       </w:t>
      </w:r>
      <w:r>
        <w:rPr>
          <w:rFonts w:ascii="仿宋" w:eastAsia="仿宋" w:hAnsi="仿宋" w:hint="eastAsia"/>
        </w:rPr>
        <w:t>省高院考核细则规定年底结案率应当达到</w:t>
      </w:r>
      <w:r w:rsidR="00F520ED">
        <w:rPr>
          <w:rFonts w:ascii="仿宋" w:eastAsia="仿宋" w:hAnsi="仿宋" w:hint="eastAsia"/>
        </w:rPr>
        <w:t>90</w:t>
      </w:r>
      <w:r>
        <w:rPr>
          <w:rFonts w:ascii="仿宋" w:eastAsia="仿宋" w:hAnsi="仿宋" w:hint="eastAsia"/>
        </w:rPr>
        <w:t>%，这个指标圆满完成</w:t>
      </w:r>
      <w:r w:rsidR="00F520ED">
        <w:rPr>
          <w:rFonts w:ascii="仿宋" w:eastAsia="仿宋" w:hAnsi="仿宋" w:hint="eastAsia"/>
        </w:rPr>
        <w:t xml:space="preserve">。成绩的取得，是在院党组的坚强有力领导、全院干警上下一心取得的。 </w:t>
      </w:r>
      <w:r>
        <w:rPr>
          <w:rFonts w:ascii="仿宋" w:eastAsia="仿宋" w:hAnsi="仿宋" w:hint="eastAsia"/>
        </w:rPr>
        <w:t>20</w:t>
      </w:r>
      <w:r w:rsidR="00F520ED">
        <w:rPr>
          <w:rFonts w:ascii="仿宋" w:eastAsia="仿宋" w:hAnsi="仿宋" w:hint="eastAsia"/>
        </w:rPr>
        <w:t>20</w:t>
      </w:r>
      <w:r>
        <w:rPr>
          <w:rFonts w:ascii="仿宋" w:eastAsia="仿宋" w:hAnsi="仿宋" w:hint="eastAsia"/>
        </w:rPr>
        <w:t>年一月份，我院争取继续提高结案率，在全省排名中实现较大幅度的跨越式进步。</w:t>
      </w:r>
    </w:p>
    <w:p w:rsidR="00AD0194" w:rsidRDefault="00606F80" w:rsidP="00E12442">
      <w:pPr>
        <w:tabs>
          <w:tab w:val="left" w:pos="800"/>
        </w:tabs>
        <w:snapToGrid w:val="0"/>
        <w:spacing w:beforeLines="50" w:before="156" w:line="360" w:lineRule="auto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（二）</w:t>
      </w:r>
      <w:r w:rsidR="004E797C">
        <w:rPr>
          <w:rFonts w:ascii="仿宋" w:eastAsia="仿宋" w:hAnsi="仿宋" w:hint="eastAsia"/>
        </w:rPr>
        <w:t>上诉案件、发回、改判类案件同比上升</w:t>
      </w:r>
    </w:p>
    <w:p w:rsidR="00E12442" w:rsidRDefault="004E797C" w:rsidP="004E797C">
      <w:pPr>
        <w:spacing w:beforeLines="50" w:before="156" w:afterLines="100" w:after="312" w:line="360" w:lineRule="auto"/>
        <w:ind w:firstLineChars="200" w:firstLine="640"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  <w:kern w:val="0"/>
        </w:rPr>
        <w:t>2019年１－12月我院</w:t>
      </w:r>
      <w:r>
        <w:rPr>
          <w:rFonts w:ascii="仿宋" w:eastAsia="仿宋" w:hAnsi="仿宋" w:hint="eastAsia"/>
          <w:color w:val="000000" w:themeColor="text1"/>
        </w:rPr>
        <w:t>共上诉案件92件，上诉案件与去年同比增加8件，增幅为9.52%；</w:t>
      </w:r>
      <w:r>
        <w:rPr>
          <w:rFonts w:ascii="仿宋" w:eastAsia="仿宋" w:hAnsi="仿宋"/>
          <w:color w:val="000000" w:themeColor="text1"/>
        </w:rPr>
        <w:t xml:space="preserve"> </w:t>
      </w:r>
      <w:r w:rsidR="00E12442">
        <w:rPr>
          <w:rFonts w:ascii="仿宋" w:eastAsia="仿宋" w:hAnsi="仿宋" w:hint="eastAsia"/>
          <w:color w:val="000000" w:themeColor="text1"/>
        </w:rPr>
        <w:t>2019年１－12月我院共收到被白山中院</w:t>
      </w:r>
      <w:proofErr w:type="gramStart"/>
      <w:r w:rsidR="00E12442">
        <w:rPr>
          <w:rFonts w:ascii="仿宋" w:eastAsia="仿宋" w:hAnsi="仿宋" w:hint="eastAsia"/>
          <w:color w:val="000000" w:themeColor="text1"/>
        </w:rPr>
        <w:t>发改案件</w:t>
      </w:r>
      <w:proofErr w:type="gramEnd"/>
      <w:r w:rsidR="00E12442">
        <w:rPr>
          <w:rFonts w:ascii="仿宋" w:eastAsia="仿宋" w:hAnsi="仿宋" w:hint="eastAsia"/>
          <w:color w:val="000000" w:themeColor="text1"/>
        </w:rPr>
        <w:t>32件，同比增加15件，增幅为88.23%。</w:t>
      </w:r>
      <w:r>
        <w:rPr>
          <w:rFonts w:ascii="仿宋" w:eastAsia="仿宋" w:hAnsi="仿宋" w:hint="eastAsia"/>
          <w:color w:val="000000" w:themeColor="text1"/>
        </w:rPr>
        <w:t>我院应加大力度改善案件质量，筑牢服判息诉指标，强化疏导解释，减少上诉风险。</w:t>
      </w:r>
    </w:p>
    <w:p w:rsidR="00AD0194" w:rsidRDefault="00606F80" w:rsidP="00E12442">
      <w:pPr>
        <w:tabs>
          <w:tab w:val="left" w:pos="800"/>
        </w:tabs>
        <w:snapToGrid w:val="0"/>
        <w:spacing w:beforeLines="50" w:before="156" w:line="360" w:lineRule="auto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三、下一步工作建议</w:t>
      </w:r>
    </w:p>
    <w:p w:rsidR="00AD0194" w:rsidRDefault="00606F80" w:rsidP="00E12442">
      <w:pPr>
        <w:spacing w:beforeLines="50" w:before="156" w:line="360" w:lineRule="auto"/>
        <w:ind w:firstLineChars="221" w:firstLine="707"/>
        <w:rPr>
          <w:rFonts w:ascii="仿宋" w:eastAsia="仿宋" w:hAnsi="仿宋" w:cs="仿宋_GB2312"/>
        </w:rPr>
      </w:pPr>
      <w:r>
        <w:rPr>
          <w:rFonts w:ascii="仿宋" w:eastAsia="仿宋" w:hAnsi="仿宋" w:cs="仿宋_GB2312"/>
        </w:rPr>
        <w:t>（一）</w:t>
      </w:r>
      <w:r w:rsidR="000240AC">
        <w:rPr>
          <w:rFonts w:ascii="仿宋" w:eastAsia="仿宋" w:hAnsi="仿宋" w:cs="仿宋_GB2312" w:hint="eastAsia"/>
        </w:rPr>
        <w:t>推动审判工作与信息化建设相融合</w:t>
      </w:r>
    </w:p>
    <w:p w:rsidR="000240AC" w:rsidRDefault="000240AC" w:rsidP="00E12442">
      <w:pPr>
        <w:spacing w:beforeLines="50" w:before="156" w:line="360" w:lineRule="auto"/>
        <w:ind w:firstLineChars="221" w:firstLine="707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全院法官及司法辅助人员应积极使用电子卷宗、智能文书写作、电子法院等相关功能，充分发挥智慧法院的积极作用。各庭室要根据工作分工，同步完成相关环节的案件信息和卷宗材料同步扫描录入工作，务求信息录入准确及时。要</w:t>
      </w:r>
      <w:r>
        <w:rPr>
          <w:rFonts w:ascii="仿宋" w:eastAsia="仿宋" w:hAnsi="仿宋" w:cs="仿宋_GB2312" w:hint="eastAsia"/>
        </w:rPr>
        <w:lastRenderedPageBreak/>
        <w:t>积极适应电子法院应用，持续提升“中国审判流程网”电子送达应用比例</w:t>
      </w:r>
      <w:r w:rsidR="009C32D0">
        <w:rPr>
          <w:rFonts w:ascii="仿宋" w:eastAsia="仿宋" w:hAnsi="仿宋" w:cs="仿宋_GB2312" w:hint="eastAsia"/>
        </w:rPr>
        <w:t>、网上阅卷、智能文书写作等功能，充分发挥智审</w:t>
      </w:r>
      <w:proofErr w:type="gramStart"/>
      <w:r w:rsidR="009C32D0">
        <w:rPr>
          <w:rFonts w:ascii="仿宋" w:eastAsia="仿宋" w:hAnsi="仿宋" w:cs="仿宋_GB2312" w:hint="eastAsia"/>
        </w:rPr>
        <w:t>系统类案参考</w:t>
      </w:r>
      <w:proofErr w:type="gramEnd"/>
      <w:r w:rsidR="009C32D0">
        <w:rPr>
          <w:rFonts w:ascii="仿宋" w:eastAsia="仿宋" w:hAnsi="仿宋" w:cs="仿宋_GB2312" w:hint="eastAsia"/>
        </w:rPr>
        <w:t>功能和裁判文书编写等功能。</w:t>
      </w:r>
    </w:p>
    <w:p w:rsidR="009C32D0" w:rsidRDefault="009C32D0" w:rsidP="009C32D0">
      <w:pPr>
        <w:spacing w:beforeLines="50" w:before="156" w:line="360" w:lineRule="auto"/>
        <w:ind w:firstLineChars="221" w:firstLine="707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（二）进一步深化司法公开</w:t>
      </w:r>
    </w:p>
    <w:p w:rsidR="009C32D0" w:rsidRDefault="009C32D0" w:rsidP="009C32D0">
      <w:pPr>
        <w:spacing w:beforeLines="50" w:before="156" w:line="360" w:lineRule="auto"/>
        <w:ind w:firstLineChars="221" w:firstLine="707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全院要进一步深化司法公开工作，巩固司法公开成果。常态化推进裁判文书公开，做好裁判文书上网率和“双百”核查工作。确保庭审直播“全覆盖”，提高干警直播意识。加强审判流程公开管理，推动审判流程公开常态化，全面实现电子送达工作新突破。</w:t>
      </w:r>
    </w:p>
    <w:p w:rsidR="009C32D0" w:rsidRDefault="009C32D0" w:rsidP="009C32D0">
      <w:pPr>
        <w:spacing w:beforeLines="50" w:before="156" w:line="360" w:lineRule="auto"/>
        <w:ind w:firstLineChars="221" w:firstLine="707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（三</w:t>
      </w:r>
      <w:r w:rsidR="00606F80">
        <w:rPr>
          <w:rFonts w:ascii="仿宋" w:eastAsia="仿宋" w:hAnsi="仿宋" w:cs="仿宋_GB2312" w:hint="eastAsia"/>
        </w:rPr>
        <w:t>）</w:t>
      </w:r>
      <w:r w:rsidR="00E12442">
        <w:rPr>
          <w:rFonts w:ascii="仿宋" w:eastAsia="仿宋" w:hAnsi="仿宋" w:cs="仿宋_GB2312" w:hint="eastAsia"/>
        </w:rPr>
        <w:t>审管办将积极督导落实责任</w:t>
      </w:r>
    </w:p>
    <w:p w:rsidR="00E12442" w:rsidRDefault="00E12442" w:rsidP="00E12442">
      <w:pPr>
        <w:spacing w:beforeLines="50" w:before="156" w:line="360" w:lineRule="auto"/>
        <w:ind w:firstLineChars="221" w:firstLine="707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审管办将按照“每星期通报”、“每月调度”、“书面通报”“综合指导”相结合的工作方式，实时监控指标数据。不定时发布督导工作文件，对专项工作实时进行督导，严抓绩效考核不达标项目，做到2020年全部达标。</w:t>
      </w:r>
    </w:p>
    <w:p w:rsidR="00AD0194" w:rsidRDefault="009C32D0" w:rsidP="00E12442">
      <w:pPr>
        <w:spacing w:beforeLines="50" w:before="156" w:line="360" w:lineRule="auto"/>
        <w:ind w:firstLineChars="221" w:firstLine="707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（四</w:t>
      </w:r>
      <w:r w:rsidR="00606F80">
        <w:rPr>
          <w:rFonts w:ascii="仿宋" w:eastAsia="仿宋" w:hAnsi="仿宋" w:cs="仿宋_GB2312" w:hint="eastAsia"/>
        </w:rPr>
        <w:t>）</w:t>
      </w:r>
      <w:r w:rsidR="00F23B1D">
        <w:rPr>
          <w:rFonts w:ascii="仿宋" w:eastAsia="仿宋" w:hAnsi="仿宋" w:cs="仿宋_GB2312" w:hint="eastAsia"/>
        </w:rPr>
        <w:t>在强化管理实效上发力。</w:t>
      </w:r>
    </w:p>
    <w:p w:rsidR="00F23B1D" w:rsidRDefault="00F23B1D" w:rsidP="00E12442">
      <w:pPr>
        <w:spacing w:beforeLines="50" w:before="156" w:line="360" w:lineRule="auto"/>
        <w:ind w:firstLineChars="221" w:firstLine="707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以“加强管理年”活动为契机，加强工作统筹，提升管理实效，为提升审判质</w:t>
      </w:r>
      <w:proofErr w:type="gramStart"/>
      <w:r>
        <w:rPr>
          <w:rFonts w:ascii="仿宋" w:eastAsia="仿宋" w:hAnsi="仿宋" w:cs="仿宋_GB2312" w:hint="eastAsia"/>
        </w:rPr>
        <w:t>效创造</w:t>
      </w:r>
      <w:proofErr w:type="gramEnd"/>
      <w:r>
        <w:rPr>
          <w:rFonts w:ascii="仿宋" w:eastAsia="仿宋" w:hAnsi="仿宋" w:cs="仿宋_GB2312" w:hint="eastAsia"/>
        </w:rPr>
        <w:t>良好条件。一是加强审限监管，从立案到归档，各流程节点审限由审管办进行监管，院庭长同事履行监督管理职责。二是缩减会务活动，为审判工作减负，提倡开短会、开小会，给审判工作拓展更多的时间和空间，让干警全身心投入到审判质效攻坚战中。</w:t>
      </w:r>
    </w:p>
    <w:p w:rsidR="00AD0194" w:rsidRDefault="00AD0194" w:rsidP="00E12442">
      <w:pPr>
        <w:spacing w:beforeLines="50" w:before="156" w:line="360" w:lineRule="auto"/>
        <w:ind w:leftChars="50" w:left="160" w:rightChars="50" w:right="160" w:firstLineChars="1771" w:firstLine="5667"/>
        <w:rPr>
          <w:rFonts w:ascii="仿宋" w:eastAsia="仿宋" w:hAnsi="仿宋" w:cs="仿宋_GB2312"/>
        </w:rPr>
      </w:pPr>
    </w:p>
    <w:p w:rsidR="00AD0194" w:rsidRDefault="00AD0194" w:rsidP="00E12442">
      <w:pPr>
        <w:spacing w:beforeLines="50" w:before="156" w:line="360" w:lineRule="auto"/>
        <w:ind w:leftChars="50" w:left="160" w:rightChars="50" w:right="160" w:firstLineChars="1771" w:firstLine="5667"/>
        <w:rPr>
          <w:rFonts w:ascii="仿宋" w:eastAsia="仿宋" w:hAnsi="仿宋" w:cs="仿宋_GB2312"/>
        </w:rPr>
      </w:pPr>
    </w:p>
    <w:p w:rsidR="00AD0194" w:rsidRDefault="00AD0194" w:rsidP="00E12442">
      <w:pPr>
        <w:spacing w:beforeLines="50" w:before="156" w:line="360" w:lineRule="auto"/>
        <w:ind w:leftChars="50" w:left="160" w:rightChars="50" w:right="160" w:firstLineChars="1771" w:firstLine="5667"/>
        <w:rPr>
          <w:rFonts w:ascii="仿宋" w:eastAsia="仿宋" w:hAnsi="仿宋" w:cs="仿宋_GB2312"/>
        </w:rPr>
      </w:pPr>
    </w:p>
    <w:p w:rsidR="00AD0194" w:rsidRDefault="00606F80" w:rsidP="00E12442">
      <w:pPr>
        <w:spacing w:beforeLines="50" w:before="156" w:line="360" w:lineRule="auto"/>
        <w:ind w:leftChars="50" w:left="160" w:rightChars="50" w:right="160" w:firstLineChars="1771" w:firstLine="5667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靖宇县人民法院</w:t>
      </w:r>
    </w:p>
    <w:p w:rsidR="00AD0194" w:rsidRDefault="00AD0194" w:rsidP="00E12442">
      <w:pPr>
        <w:spacing w:beforeLines="50" w:before="156" w:line="360" w:lineRule="auto"/>
        <w:ind w:leftChars="50" w:left="160" w:rightChars="50" w:right="160" w:firstLineChars="1771" w:firstLine="5667"/>
        <w:rPr>
          <w:rFonts w:ascii="仿宋" w:eastAsia="仿宋" w:hAnsi="仿宋" w:cs="仿宋_GB2312"/>
        </w:rPr>
      </w:pPr>
    </w:p>
    <w:p w:rsidR="00AD0194" w:rsidRDefault="00606F80" w:rsidP="00E12442">
      <w:pPr>
        <w:spacing w:beforeLines="50" w:before="156" w:line="360" w:lineRule="auto"/>
        <w:ind w:leftChars="50" w:left="160" w:rightChars="50" w:right="160" w:firstLineChars="1500" w:firstLine="4800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二</w:t>
      </w:r>
      <w:proofErr w:type="gramStart"/>
      <w:r>
        <w:rPr>
          <w:rFonts w:ascii="仿宋" w:eastAsia="仿宋" w:hAnsi="仿宋" w:cs="仿宋_GB2312" w:hint="eastAsia"/>
        </w:rPr>
        <w:t>0二</w:t>
      </w:r>
      <w:proofErr w:type="gramEnd"/>
      <w:r>
        <w:rPr>
          <w:rFonts w:ascii="仿宋" w:eastAsia="仿宋" w:hAnsi="仿宋" w:cs="仿宋_GB2312" w:hint="eastAsia"/>
        </w:rPr>
        <w:t>0年一月十一日</w:t>
      </w:r>
    </w:p>
    <w:p w:rsidR="00AD0194" w:rsidRDefault="00AD0194" w:rsidP="00E12442">
      <w:pPr>
        <w:spacing w:beforeLines="50" w:before="156" w:line="360" w:lineRule="auto"/>
        <w:ind w:leftChars="50" w:left="160" w:rightChars="50" w:right="160" w:firstLineChars="1500" w:firstLine="4800"/>
        <w:rPr>
          <w:rFonts w:ascii="仿宋" w:eastAsia="仿宋" w:hAnsi="仿宋" w:cs="仿宋_GB2312"/>
        </w:rPr>
      </w:pPr>
    </w:p>
    <w:p w:rsidR="00AD0194" w:rsidRDefault="00AD0194" w:rsidP="00E12442">
      <w:pPr>
        <w:spacing w:beforeLines="50" w:before="156" w:line="360" w:lineRule="auto"/>
        <w:ind w:rightChars="50" w:right="160"/>
        <w:rPr>
          <w:rFonts w:ascii="仿宋" w:eastAsia="仿宋" w:hAnsi="仿宋" w:cs="仿宋_GB2312"/>
        </w:rPr>
      </w:pPr>
    </w:p>
    <w:p w:rsidR="00AD0194" w:rsidRDefault="00AD0194" w:rsidP="00E12442">
      <w:pPr>
        <w:spacing w:beforeLines="50" w:before="156" w:line="360" w:lineRule="auto"/>
        <w:ind w:leftChars="50" w:left="160" w:rightChars="50" w:right="160" w:firstLineChars="1500" w:firstLine="4800"/>
        <w:rPr>
          <w:rFonts w:ascii="仿宋" w:eastAsia="仿宋" w:hAnsi="仿宋" w:cs="仿宋_GB2312"/>
        </w:rPr>
      </w:pPr>
    </w:p>
    <w:sectPr w:rsidR="00AD0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29" w:rsidRDefault="00744F29" w:rsidP="009F392F">
      <w:r>
        <w:separator/>
      </w:r>
    </w:p>
  </w:endnote>
  <w:endnote w:type="continuationSeparator" w:id="0">
    <w:p w:rsidR="00744F29" w:rsidRDefault="00744F29" w:rsidP="009F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大黑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29" w:rsidRDefault="00744F29" w:rsidP="009F392F">
      <w:r>
        <w:separator/>
      </w:r>
    </w:p>
  </w:footnote>
  <w:footnote w:type="continuationSeparator" w:id="0">
    <w:p w:rsidR="00744F29" w:rsidRDefault="00744F29" w:rsidP="009F3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F2"/>
    <w:rsid w:val="00004ECB"/>
    <w:rsid w:val="000050CB"/>
    <w:rsid w:val="0000738F"/>
    <w:rsid w:val="0001432B"/>
    <w:rsid w:val="00014A46"/>
    <w:rsid w:val="000240AC"/>
    <w:rsid w:val="000251BF"/>
    <w:rsid w:val="00025B06"/>
    <w:rsid w:val="000264C9"/>
    <w:rsid w:val="00026C4D"/>
    <w:rsid w:val="00027394"/>
    <w:rsid w:val="00041A64"/>
    <w:rsid w:val="00045EBC"/>
    <w:rsid w:val="000544C1"/>
    <w:rsid w:val="00061BF9"/>
    <w:rsid w:val="00072839"/>
    <w:rsid w:val="000751F2"/>
    <w:rsid w:val="00083FCC"/>
    <w:rsid w:val="00084AD8"/>
    <w:rsid w:val="00084F51"/>
    <w:rsid w:val="00094843"/>
    <w:rsid w:val="000B6657"/>
    <w:rsid w:val="000C0DF2"/>
    <w:rsid w:val="000C546B"/>
    <w:rsid w:val="000C6C85"/>
    <w:rsid w:val="000D5315"/>
    <w:rsid w:val="000D6A70"/>
    <w:rsid w:val="000E0DF3"/>
    <w:rsid w:val="000F2512"/>
    <w:rsid w:val="000F3C00"/>
    <w:rsid w:val="000F569E"/>
    <w:rsid w:val="0011467E"/>
    <w:rsid w:val="00124A61"/>
    <w:rsid w:val="0012524A"/>
    <w:rsid w:val="00131CC9"/>
    <w:rsid w:val="00132F05"/>
    <w:rsid w:val="00141D01"/>
    <w:rsid w:val="00141DE0"/>
    <w:rsid w:val="00153CF5"/>
    <w:rsid w:val="00157DD0"/>
    <w:rsid w:val="001708FE"/>
    <w:rsid w:val="00184ECF"/>
    <w:rsid w:val="00186B2E"/>
    <w:rsid w:val="00190313"/>
    <w:rsid w:val="00191C2F"/>
    <w:rsid w:val="001A01B0"/>
    <w:rsid w:val="001A5879"/>
    <w:rsid w:val="001B0918"/>
    <w:rsid w:val="001B4C33"/>
    <w:rsid w:val="001C46CF"/>
    <w:rsid w:val="001C4DD4"/>
    <w:rsid w:val="001C6C22"/>
    <w:rsid w:val="001F67EE"/>
    <w:rsid w:val="00200B7C"/>
    <w:rsid w:val="002035DC"/>
    <w:rsid w:val="00203C18"/>
    <w:rsid w:val="00212923"/>
    <w:rsid w:val="00221943"/>
    <w:rsid w:val="00222FD7"/>
    <w:rsid w:val="00224020"/>
    <w:rsid w:val="002263C5"/>
    <w:rsid w:val="00227C7D"/>
    <w:rsid w:val="00233C3D"/>
    <w:rsid w:val="002537BB"/>
    <w:rsid w:val="00253AA4"/>
    <w:rsid w:val="0026083E"/>
    <w:rsid w:val="002727CD"/>
    <w:rsid w:val="002728D9"/>
    <w:rsid w:val="00277AB3"/>
    <w:rsid w:val="00292A91"/>
    <w:rsid w:val="002A4643"/>
    <w:rsid w:val="002C6B94"/>
    <w:rsid w:val="002D31AA"/>
    <w:rsid w:val="002E57ED"/>
    <w:rsid w:val="002F2128"/>
    <w:rsid w:val="002F7DAB"/>
    <w:rsid w:val="00307117"/>
    <w:rsid w:val="0031609E"/>
    <w:rsid w:val="003162DD"/>
    <w:rsid w:val="00322841"/>
    <w:rsid w:val="00323936"/>
    <w:rsid w:val="00351D69"/>
    <w:rsid w:val="00363187"/>
    <w:rsid w:val="00365123"/>
    <w:rsid w:val="00366580"/>
    <w:rsid w:val="0036684B"/>
    <w:rsid w:val="00367819"/>
    <w:rsid w:val="00384EDB"/>
    <w:rsid w:val="00387309"/>
    <w:rsid w:val="0039025C"/>
    <w:rsid w:val="003A5256"/>
    <w:rsid w:val="003C073D"/>
    <w:rsid w:val="003D0B4A"/>
    <w:rsid w:val="003D1876"/>
    <w:rsid w:val="003E1FBD"/>
    <w:rsid w:val="003F3024"/>
    <w:rsid w:val="004112C8"/>
    <w:rsid w:val="00424857"/>
    <w:rsid w:val="00426B83"/>
    <w:rsid w:val="00445BB4"/>
    <w:rsid w:val="004519B7"/>
    <w:rsid w:val="00451E08"/>
    <w:rsid w:val="00455EA6"/>
    <w:rsid w:val="0046276B"/>
    <w:rsid w:val="00466517"/>
    <w:rsid w:val="0047152E"/>
    <w:rsid w:val="00483DA8"/>
    <w:rsid w:val="00484CEF"/>
    <w:rsid w:val="00486905"/>
    <w:rsid w:val="004A0A54"/>
    <w:rsid w:val="004A4EDD"/>
    <w:rsid w:val="004A6751"/>
    <w:rsid w:val="004A6A27"/>
    <w:rsid w:val="004B3D99"/>
    <w:rsid w:val="004B6DC4"/>
    <w:rsid w:val="004C0E33"/>
    <w:rsid w:val="004C4076"/>
    <w:rsid w:val="004D2E33"/>
    <w:rsid w:val="004E68A4"/>
    <w:rsid w:val="004E797C"/>
    <w:rsid w:val="004F0E82"/>
    <w:rsid w:val="004F639D"/>
    <w:rsid w:val="004F6AA0"/>
    <w:rsid w:val="005011FB"/>
    <w:rsid w:val="00505F56"/>
    <w:rsid w:val="00507088"/>
    <w:rsid w:val="00510B24"/>
    <w:rsid w:val="00517936"/>
    <w:rsid w:val="00521CBA"/>
    <w:rsid w:val="00553078"/>
    <w:rsid w:val="00565CC0"/>
    <w:rsid w:val="00567333"/>
    <w:rsid w:val="005822CE"/>
    <w:rsid w:val="00583A87"/>
    <w:rsid w:val="0059105A"/>
    <w:rsid w:val="00595EA6"/>
    <w:rsid w:val="005C5F5E"/>
    <w:rsid w:val="005D1B6F"/>
    <w:rsid w:val="005E34AD"/>
    <w:rsid w:val="005F15B3"/>
    <w:rsid w:val="005F1CB1"/>
    <w:rsid w:val="005F2809"/>
    <w:rsid w:val="005F2F73"/>
    <w:rsid w:val="00600627"/>
    <w:rsid w:val="00606F80"/>
    <w:rsid w:val="006123E8"/>
    <w:rsid w:val="00622E1B"/>
    <w:rsid w:val="00625DC2"/>
    <w:rsid w:val="00630E2E"/>
    <w:rsid w:val="00633C55"/>
    <w:rsid w:val="00636100"/>
    <w:rsid w:val="006448B7"/>
    <w:rsid w:val="00671104"/>
    <w:rsid w:val="00671954"/>
    <w:rsid w:val="00675939"/>
    <w:rsid w:val="00680056"/>
    <w:rsid w:val="006812D2"/>
    <w:rsid w:val="0068446E"/>
    <w:rsid w:val="006844D4"/>
    <w:rsid w:val="00684A03"/>
    <w:rsid w:val="006A3221"/>
    <w:rsid w:val="006A3498"/>
    <w:rsid w:val="006B3248"/>
    <w:rsid w:val="006B5407"/>
    <w:rsid w:val="006B65DE"/>
    <w:rsid w:val="006C1378"/>
    <w:rsid w:val="006D0CA7"/>
    <w:rsid w:val="006D46C4"/>
    <w:rsid w:val="006D4ABB"/>
    <w:rsid w:val="006D724C"/>
    <w:rsid w:val="006E2FE9"/>
    <w:rsid w:val="006F7D52"/>
    <w:rsid w:val="006F7DE0"/>
    <w:rsid w:val="00702041"/>
    <w:rsid w:val="00703032"/>
    <w:rsid w:val="0071251B"/>
    <w:rsid w:val="00714397"/>
    <w:rsid w:val="007147FA"/>
    <w:rsid w:val="00724B26"/>
    <w:rsid w:val="00725995"/>
    <w:rsid w:val="00732B03"/>
    <w:rsid w:val="0073592D"/>
    <w:rsid w:val="00741D71"/>
    <w:rsid w:val="00744F29"/>
    <w:rsid w:val="00745CAE"/>
    <w:rsid w:val="00746671"/>
    <w:rsid w:val="00746F2B"/>
    <w:rsid w:val="00753327"/>
    <w:rsid w:val="00764C0E"/>
    <w:rsid w:val="007811C9"/>
    <w:rsid w:val="007948E0"/>
    <w:rsid w:val="007A1752"/>
    <w:rsid w:val="007A2F7C"/>
    <w:rsid w:val="007B27FF"/>
    <w:rsid w:val="007B666C"/>
    <w:rsid w:val="007C5CC3"/>
    <w:rsid w:val="007C7B87"/>
    <w:rsid w:val="007D0EF6"/>
    <w:rsid w:val="007D4277"/>
    <w:rsid w:val="007E106D"/>
    <w:rsid w:val="007F543D"/>
    <w:rsid w:val="00800A20"/>
    <w:rsid w:val="0080245D"/>
    <w:rsid w:val="00804564"/>
    <w:rsid w:val="00806306"/>
    <w:rsid w:val="00832AFD"/>
    <w:rsid w:val="00835BF0"/>
    <w:rsid w:val="008402B8"/>
    <w:rsid w:val="00840BBC"/>
    <w:rsid w:val="0085695F"/>
    <w:rsid w:val="0086095E"/>
    <w:rsid w:val="00871EE9"/>
    <w:rsid w:val="008C2C72"/>
    <w:rsid w:val="008E7D0E"/>
    <w:rsid w:val="008F19FA"/>
    <w:rsid w:val="008F56E1"/>
    <w:rsid w:val="009000E0"/>
    <w:rsid w:val="009006B6"/>
    <w:rsid w:val="00925D08"/>
    <w:rsid w:val="00931F99"/>
    <w:rsid w:val="00937342"/>
    <w:rsid w:val="00942AF4"/>
    <w:rsid w:val="00942E65"/>
    <w:rsid w:val="00946AC1"/>
    <w:rsid w:val="009477BE"/>
    <w:rsid w:val="00952447"/>
    <w:rsid w:val="009552B6"/>
    <w:rsid w:val="009615BB"/>
    <w:rsid w:val="0097556F"/>
    <w:rsid w:val="00983636"/>
    <w:rsid w:val="00983DB0"/>
    <w:rsid w:val="009865D4"/>
    <w:rsid w:val="009934CF"/>
    <w:rsid w:val="00995AFE"/>
    <w:rsid w:val="009A4454"/>
    <w:rsid w:val="009C2E48"/>
    <w:rsid w:val="009C32D0"/>
    <w:rsid w:val="009E006A"/>
    <w:rsid w:val="009E0F8D"/>
    <w:rsid w:val="009E4187"/>
    <w:rsid w:val="009F392F"/>
    <w:rsid w:val="00A24605"/>
    <w:rsid w:val="00A27B87"/>
    <w:rsid w:val="00A31324"/>
    <w:rsid w:val="00A345FD"/>
    <w:rsid w:val="00A41558"/>
    <w:rsid w:val="00A43382"/>
    <w:rsid w:val="00A504FA"/>
    <w:rsid w:val="00A531F3"/>
    <w:rsid w:val="00A57704"/>
    <w:rsid w:val="00A80B1B"/>
    <w:rsid w:val="00A80E92"/>
    <w:rsid w:val="00A8413B"/>
    <w:rsid w:val="00A85945"/>
    <w:rsid w:val="00AA08A6"/>
    <w:rsid w:val="00AA128C"/>
    <w:rsid w:val="00AB3214"/>
    <w:rsid w:val="00AB7FCF"/>
    <w:rsid w:val="00AC312E"/>
    <w:rsid w:val="00AC7C27"/>
    <w:rsid w:val="00AD0194"/>
    <w:rsid w:val="00AD27FA"/>
    <w:rsid w:val="00AE0C35"/>
    <w:rsid w:val="00AE463D"/>
    <w:rsid w:val="00AE6241"/>
    <w:rsid w:val="00AE7898"/>
    <w:rsid w:val="00AE7D6E"/>
    <w:rsid w:val="00AF2E04"/>
    <w:rsid w:val="00AF7E67"/>
    <w:rsid w:val="00B026DD"/>
    <w:rsid w:val="00B167D4"/>
    <w:rsid w:val="00B22C94"/>
    <w:rsid w:val="00B3021F"/>
    <w:rsid w:val="00B34CBB"/>
    <w:rsid w:val="00B47989"/>
    <w:rsid w:val="00B53648"/>
    <w:rsid w:val="00B54417"/>
    <w:rsid w:val="00B64848"/>
    <w:rsid w:val="00B655E5"/>
    <w:rsid w:val="00B65B26"/>
    <w:rsid w:val="00B70E27"/>
    <w:rsid w:val="00B82A1B"/>
    <w:rsid w:val="00B84275"/>
    <w:rsid w:val="00B852D5"/>
    <w:rsid w:val="00B861EA"/>
    <w:rsid w:val="00B95245"/>
    <w:rsid w:val="00BB1394"/>
    <w:rsid w:val="00BB2321"/>
    <w:rsid w:val="00BB3D77"/>
    <w:rsid w:val="00BB4F64"/>
    <w:rsid w:val="00BC2CD1"/>
    <w:rsid w:val="00BC5280"/>
    <w:rsid w:val="00BC5EBF"/>
    <w:rsid w:val="00BE0F49"/>
    <w:rsid w:val="00BE24DE"/>
    <w:rsid w:val="00BE3F71"/>
    <w:rsid w:val="00BF6F53"/>
    <w:rsid w:val="00C05290"/>
    <w:rsid w:val="00C10A28"/>
    <w:rsid w:val="00C116FF"/>
    <w:rsid w:val="00C149A0"/>
    <w:rsid w:val="00C15DCF"/>
    <w:rsid w:val="00C24725"/>
    <w:rsid w:val="00C3202E"/>
    <w:rsid w:val="00C34B58"/>
    <w:rsid w:val="00C40FB1"/>
    <w:rsid w:val="00C50FA5"/>
    <w:rsid w:val="00C6694B"/>
    <w:rsid w:val="00C6701F"/>
    <w:rsid w:val="00C84376"/>
    <w:rsid w:val="00CA0653"/>
    <w:rsid w:val="00CA1000"/>
    <w:rsid w:val="00CE34E2"/>
    <w:rsid w:val="00CF05C6"/>
    <w:rsid w:val="00D05E09"/>
    <w:rsid w:val="00D06310"/>
    <w:rsid w:val="00D06C4D"/>
    <w:rsid w:val="00D1128B"/>
    <w:rsid w:val="00D12EDB"/>
    <w:rsid w:val="00D17CDF"/>
    <w:rsid w:val="00D270DA"/>
    <w:rsid w:val="00D30121"/>
    <w:rsid w:val="00D40380"/>
    <w:rsid w:val="00D439EC"/>
    <w:rsid w:val="00D539EF"/>
    <w:rsid w:val="00D60F9E"/>
    <w:rsid w:val="00D631F1"/>
    <w:rsid w:val="00D64137"/>
    <w:rsid w:val="00D673A1"/>
    <w:rsid w:val="00D75F38"/>
    <w:rsid w:val="00D81D1A"/>
    <w:rsid w:val="00D8524C"/>
    <w:rsid w:val="00D92EB4"/>
    <w:rsid w:val="00D93B92"/>
    <w:rsid w:val="00DB0EC0"/>
    <w:rsid w:val="00DB11A2"/>
    <w:rsid w:val="00DB3B5D"/>
    <w:rsid w:val="00DB6484"/>
    <w:rsid w:val="00DC12C5"/>
    <w:rsid w:val="00DD1899"/>
    <w:rsid w:val="00DD65B3"/>
    <w:rsid w:val="00DE019E"/>
    <w:rsid w:val="00E003A4"/>
    <w:rsid w:val="00E0116E"/>
    <w:rsid w:val="00E03244"/>
    <w:rsid w:val="00E03730"/>
    <w:rsid w:val="00E12442"/>
    <w:rsid w:val="00E1292F"/>
    <w:rsid w:val="00E23B52"/>
    <w:rsid w:val="00E33078"/>
    <w:rsid w:val="00E351A8"/>
    <w:rsid w:val="00E42C3D"/>
    <w:rsid w:val="00E43B71"/>
    <w:rsid w:val="00E44647"/>
    <w:rsid w:val="00E5406E"/>
    <w:rsid w:val="00E550D2"/>
    <w:rsid w:val="00E66342"/>
    <w:rsid w:val="00E86390"/>
    <w:rsid w:val="00E9219B"/>
    <w:rsid w:val="00EA06DE"/>
    <w:rsid w:val="00EA6B24"/>
    <w:rsid w:val="00EB3E99"/>
    <w:rsid w:val="00EB5DC0"/>
    <w:rsid w:val="00EC1CC9"/>
    <w:rsid w:val="00EC51D9"/>
    <w:rsid w:val="00EC6C16"/>
    <w:rsid w:val="00EE3989"/>
    <w:rsid w:val="00EE401A"/>
    <w:rsid w:val="00EF020C"/>
    <w:rsid w:val="00EF6DAD"/>
    <w:rsid w:val="00F0447D"/>
    <w:rsid w:val="00F10693"/>
    <w:rsid w:val="00F1158F"/>
    <w:rsid w:val="00F20A22"/>
    <w:rsid w:val="00F23B1D"/>
    <w:rsid w:val="00F23C21"/>
    <w:rsid w:val="00F26501"/>
    <w:rsid w:val="00F3077E"/>
    <w:rsid w:val="00F33C41"/>
    <w:rsid w:val="00F366DE"/>
    <w:rsid w:val="00F43267"/>
    <w:rsid w:val="00F435E0"/>
    <w:rsid w:val="00F44568"/>
    <w:rsid w:val="00F44AA4"/>
    <w:rsid w:val="00F518B8"/>
    <w:rsid w:val="00F520ED"/>
    <w:rsid w:val="00F5447D"/>
    <w:rsid w:val="00F60F09"/>
    <w:rsid w:val="00F66BF2"/>
    <w:rsid w:val="00F775D9"/>
    <w:rsid w:val="00F875DE"/>
    <w:rsid w:val="00F900B8"/>
    <w:rsid w:val="00F96CCA"/>
    <w:rsid w:val="00F97B7C"/>
    <w:rsid w:val="00FB4545"/>
    <w:rsid w:val="00FB6DE1"/>
    <w:rsid w:val="00FC09A6"/>
    <w:rsid w:val="00FE2C22"/>
    <w:rsid w:val="00FE42C5"/>
    <w:rsid w:val="00FF18EA"/>
    <w:rsid w:val="12B77DD4"/>
    <w:rsid w:val="12E62A07"/>
    <w:rsid w:val="159B4D12"/>
    <w:rsid w:val="30F708D5"/>
    <w:rsid w:val="3D766E5D"/>
    <w:rsid w:val="3F5F78CA"/>
    <w:rsid w:val="3F8B6CD3"/>
    <w:rsid w:val="47975229"/>
    <w:rsid w:val="4BBC4F5A"/>
    <w:rsid w:val="55F371C2"/>
    <w:rsid w:val="6AE90A81"/>
    <w:rsid w:val="6B3D6DC4"/>
    <w:rsid w:val="6F032809"/>
    <w:rsid w:val="6FB261C0"/>
    <w:rsid w:val="6FD567D0"/>
    <w:rsid w:val="70E145B3"/>
    <w:rsid w:val="75E36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link w:val="Char2"/>
    <w:qFormat/>
    <w:pPr>
      <w:widowControl/>
      <w:spacing w:before="100" w:beforeAutospacing="1" w:after="100" w:afterAutospacing="1"/>
      <w:jc w:val="left"/>
    </w:pPr>
    <w:rPr>
      <w:rFonts w:ascii="宋体" w:eastAsia="宋体" w:cs="宋体"/>
      <w:sz w:val="24"/>
      <w:szCs w:val="24"/>
    </w:rPr>
  </w:style>
  <w:style w:type="character" w:styleId="a7">
    <w:name w:val="Hyperlink"/>
    <w:basedOn w:val="a0"/>
    <w:uiPriority w:val="99"/>
    <w:semiHidden/>
    <w:unhideWhenUsed/>
    <w:rPr>
      <w:color w:val="107EBF"/>
      <w:u w:val="none"/>
    </w:rPr>
  </w:style>
  <w:style w:type="character" w:customStyle="1" w:styleId="Char2">
    <w:name w:val="普通(网站) Char"/>
    <w:basedOn w:val="a0"/>
    <w:link w:val="a6"/>
    <w:locked/>
    <w:rPr>
      <w:rFonts w:ascii="宋体" w:eastAsia="宋体" w:hAnsi="宋体" w:cs="宋体"/>
      <w:sz w:val="24"/>
      <w:szCs w:val="24"/>
    </w:rPr>
  </w:style>
  <w:style w:type="paragraph" w:customStyle="1" w:styleId="CharCharChar">
    <w:name w:val="Char Char Char"/>
    <w:basedOn w:val="a"/>
    <w:semiHidden/>
    <w:pPr>
      <w:widowControl/>
      <w:tabs>
        <w:tab w:val="left" w:pos="360"/>
      </w:tabs>
      <w:spacing w:before="120" w:after="120"/>
      <w:jc w:val="left"/>
    </w:pPr>
    <w:rPr>
      <w:rFonts w:ascii="Verdana" w:eastAsia="方正大黑简体" w:hAnsi="Verdana"/>
      <w:b/>
      <w:kern w:val="0"/>
      <w:sz w:val="36"/>
      <w:szCs w:val="20"/>
      <w:lang w:eastAsia="en-US"/>
    </w:rPr>
  </w:style>
  <w:style w:type="character" w:customStyle="1" w:styleId="Char1">
    <w:name w:val="页眉 Char"/>
    <w:basedOn w:val="a0"/>
    <w:link w:val="a5"/>
    <w:uiPriority w:val="99"/>
    <w:rPr>
      <w:rFonts w:ascii="仿宋_GB2312" w:eastAsia="仿宋_GB2312" w:hAnsi="宋体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仿宋_GB2312" w:eastAsia="仿宋_GB2312" w:hAnsi="宋体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仿宋_GB2312" w:eastAsia="仿宋_GB2312" w:hAnsi="宋体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link w:val="Char2"/>
    <w:qFormat/>
    <w:pPr>
      <w:widowControl/>
      <w:spacing w:before="100" w:beforeAutospacing="1" w:after="100" w:afterAutospacing="1"/>
      <w:jc w:val="left"/>
    </w:pPr>
    <w:rPr>
      <w:rFonts w:ascii="宋体" w:eastAsia="宋体" w:cs="宋体"/>
      <w:sz w:val="24"/>
      <w:szCs w:val="24"/>
    </w:rPr>
  </w:style>
  <w:style w:type="character" w:styleId="a7">
    <w:name w:val="Hyperlink"/>
    <w:basedOn w:val="a0"/>
    <w:uiPriority w:val="99"/>
    <w:semiHidden/>
    <w:unhideWhenUsed/>
    <w:rPr>
      <w:color w:val="107EBF"/>
      <w:u w:val="none"/>
    </w:rPr>
  </w:style>
  <w:style w:type="character" w:customStyle="1" w:styleId="Char2">
    <w:name w:val="普通(网站) Char"/>
    <w:basedOn w:val="a0"/>
    <w:link w:val="a6"/>
    <w:locked/>
    <w:rPr>
      <w:rFonts w:ascii="宋体" w:eastAsia="宋体" w:hAnsi="宋体" w:cs="宋体"/>
      <w:sz w:val="24"/>
      <w:szCs w:val="24"/>
    </w:rPr>
  </w:style>
  <w:style w:type="paragraph" w:customStyle="1" w:styleId="CharCharChar">
    <w:name w:val="Char Char Char"/>
    <w:basedOn w:val="a"/>
    <w:semiHidden/>
    <w:pPr>
      <w:widowControl/>
      <w:tabs>
        <w:tab w:val="left" w:pos="360"/>
      </w:tabs>
      <w:spacing w:before="120" w:after="120"/>
      <w:jc w:val="left"/>
    </w:pPr>
    <w:rPr>
      <w:rFonts w:ascii="Verdana" w:eastAsia="方正大黑简体" w:hAnsi="Verdana"/>
      <w:b/>
      <w:kern w:val="0"/>
      <w:sz w:val="36"/>
      <w:szCs w:val="20"/>
      <w:lang w:eastAsia="en-US"/>
    </w:rPr>
  </w:style>
  <w:style w:type="character" w:customStyle="1" w:styleId="Char1">
    <w:name w:val="页眉 Char"/>
    <w:basedOn w:val="a0"/>
    <w:link w:val="a5"/>
    <w:uiPriority w:val="99"/>
    <w:rPr>
      <w:rFonts w:ascii="仿宋_GB2312" w:eastAsia="仿宋_GB2312" w:hAnsi="宋体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仿宋_GB2312" w:eastAsia="仿宋_GB2312" w:hAnsi="宋体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仿宋_GB2312" w:eastAsia="仿宋_GB2312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0A9909-C362-4E8E-A2CE-627BB840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3915</TotalTime>
  <Pages>8</Pages>
  <Words>433</Words>
  <Characters>2474</Characters>
  <Application>Microsoft Office Word</Application>
  <DocSecurity>0</DocSecurity>
  <Lines>20</Lines>
  <Paragraphs>5</Paragraphs>
  <ScaleCrop>false</ScaleCrop>
  <Company>奇迹小亮2016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FY</cp:lastModifiedBy>
  <cp:revision>26</cp:revision>
  <cp:lastPrinted>2017-10-12T07:25:00Z</cp:lastPrinted>
  <dcterms:created xsi:type="dcterms:W3CDTF">2019-01-02T03:01:00Z</dcterms:created>
  <dcterms:modified xsi:type="dcterms:W3CDTF">2020-01-14T01:40:00Z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